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47877" w14:textId="2BF01C88" w:rsidR="0095374B" w:rsidRDefault="0095374B" w:rsidP="0095374B">
      <w:pPr>
        <w:jc w:val="center"/>
        <w:rPr>
          <w:b/>
          <w:sz w:val="24"/>
          <w:szCs w:val="24"/>
        </w:rPr>
      </w:pPr>
      <w:bookmarkStart w:id="0" w:name="_GoBack"/>
      <w:bookmarkEnd w:id="0"/>
      <w:r>
        <w:rPr>
          <w:noProof/>
          <w:lang w:val="es-AR" w:eastAsia="es-AR"/>
        </w:rPr>
        <w:drawing>
          <wp:anchor distT="0" distB="0" distL="114300" distR="114300" simplePos="0" relativeHeight="251659264" behindDoc="0" locked="0" layoutInCell="1" allowOverlap="1" wp14:anchorId="468824D2" wp14:editId="65D30505">
            <wp:simplePos x="0" y="0"/>
            <wp:positionH relativeFrom="column">
              <wp:posOffset>2363543</wp:posOffset>
            </wp:positionH>
            <wp:positionV relativeFrom="paragraph">
              <wp:posOffset>-87580</wp:posOffset>
            </wp:positionV>
            <wp:extent cx="871220" cy="924560"/>
            <wp:effectExtent l="0" t="0" r="5080" b="254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220"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2F822" w14:textId="5896A55F" w:rsidR="0095374B" w:rsidRDefault="0095374B" w:rsidP="0095374B">
      <w:pPr>
        <w:jc w:val="center"/>
        <w:rPr>
          <w:b/>
          <w:sz w:val="24"/>
          <w:szCs w:val="24"/>
        </w:rPr>
      </w:pPr>
    </w:p>
    <w:p w14:paraId="63AD59E6" w14:textId="5C43B127" w:rsidR="0095374B" w:rsidRDefault="0095374B" w:rsidP="0095374B">
      <w:pPr>
        <w:jc w:val="center"/>
        <w:rPr>
          <w:b/>
          <w:sz w:val="24"/>
          <w:szCs w:val="24"/>
        </w:rPr>
      </w:pPr>
    </w:p>
    <w:p w14:paraId="13EEA6E7" w14:textId="77777777" w:rsidR="00FB5DA9" w:rsidRPr="00FB5DA9" w:rsidRDefault="00FB5DA9" w:rsidP="00FB5DA9">
      <w:pPr>
        <w:jc w:val="center"/>
        <w:rPr>
          <w:b/>
          <w:sz w:val="24"/>
          <w:szCs w:val="24"/>
          <w:lang w:val="en-US"/>
        </w:rPr>
      </w:pPr>
      <w:r w:rsidRPr="00FB5DA9">
        <w:rPr>
          <w:b/>
          <w:sz w:val="24"/>
          <w:szCs w:val="24"/>
          <w:lang w:val="en-US"/>
        </w:rPr>
        <w:t>MINISTRY OF ECONOMICS</w:t>
      </w:r>
    </w:p>
    <w:p w14:paraId="4585961A" w14:textId="77777777" w:rsidR="00FB5DA9" w:rsidRPr="00FB5DA9" w:rsidRDefault="00FB5DA9" w:rsidP="00FB5DA9">
      <w:pPr>
        <w:ind w:firstLine="708"/>
        <w:jc w:val="center"/>
        <w:rPr>
          <w:b/>
          <w:sz w:val="24"/>
          <w:szCs w:val="24"/>
          <w:lang w:val="en-US"/>
        </w:rPr>
      </w:pPr>
      <w:r w:rsidRPr="00FB5DA9">
        <w:rPr>
          <w:b/>
          <w:sz w:val="24"/>
          <w:szCs w:val="24"/>
          <w:lang w:val="en-US"/>
        </w:rPr>
        <w:t xml:space="preserve">Evaluation, Planning, Energy and Lottery Secretariat </w:t>
      </w:r>
    </w:p>
    <w:p w14:paraId="4A45F4B9" w14:textId="78CA26EF" w:rsidR="00FB5DA9" w:rsidRPr="008A0B86" w:rsidRDefault="00FB5DA9" w:rsidP="00FB5DA9">
      <w:pPr>
        <w:ind w:firstLine="708"/>
        <w:jc w:val="center"/>
        <w:rPr>
          <w:b/>
          <w:sz w:val="24"/>
          <w:lang w:val="en-US"/>
        </w:rPr>
      </w:pPr>
      <w:r w:rsidRPr="008A0B86">
        <w:rPr>
          <w:b/>
          <w:sz w:val="24"/>
          <w:lang w:val="en-US"/>
        </w:rPr>
        <w:t>Form for submitting contributions to ME-SECAP Public Consultation No. 01/2019</w:t>
      </w:r>
    </w:p>
    <w:tbl>
      <w:tblPr>
        <w:tblStyle w:val="Tablaconcuadrcula"/>
        <w:tblpPr w:leftFromText="141" w:rightFromText="141" w:vertAnchor="page" w:horzAnchor="margin" w:tblpY="4861"/>
        <w:tblW w:w="9067" w:type="dxa"/>
        <w:tblLook w:val="04A0" w:firstRow="1" w:lastRow="0" w:firstColumn="1" w:lastColumn="0" w:noHBand="0" w:noVBand="1"/>
      </w:tblPr>
      <w:tblGrid>
        <w:gridCol w:w="9067"/>
      </w:tblGrid>
      <w:tr w:rsidR="00FB5DA9" w:rsidRPr="008A0B86" w14:paraId="1998676F" w14:textId="77777777" w:rsidTr="00A732BC">
        <w:tc>
          <w:tcPr>
            <w:tcW w:w="9067" w:type="dxa"/>
            <w:shd w:val="clear" w:color="auto" w:fill="E7E6E6" w:themeFill="background2"/>
          </w:tcPr>
          <w:p w14:paraId="0DABF9BC" w14:textId="77777777" w:rsidR="00FB5DA9" w:rsidRPr="008A0B86" w:rsidRDefault="00FB5DA9" w:rsidP="00A732BC">
            <w:pPr>
              <w:jc w:val="center"/>
              <w:rPr>
                <w:b/>
                <w:sz w:val="26"/>
                <w:szCs w:val="26"/>
                <w:lang w:val="en-US"/>
              </w:rPr>
            </w:pPr>
            <w:r w:rsidRPr="008A0B86">
              <w:rPr>
                <w:b/>
                <w:sz w:val="24"/>
                <w:lang w:val="en-US"/>
              </w:rPr>
              <w:t>Public Consultation ME-SECAP nº 01/2019</w:t>
            </w:r>
          </w:p>
        </w:tc>
      </w:tr>
      <w:tr w:rsidR="00FB5DA9" w14:paraId="453C491C" w14:textId="77777777" w:rsidTr="00A732BC">
        <w:tc>
          <w:tcPr>
            <w:tcW w:w="9067" w:type="dxa"/>
            <w:shd w:val="clear" w:color="auto" w:fill="E7E6E6" w:themeFill="background2"/>
          </w:tcPr>
          <w:p w14:paraId="06C4C167" w14:textId="77777777" w:rsidR="00FB5DA9" w:rsidRPr="00882F15" w:rsidRDefault="00FB5DA9" w:rsidP="00A732BC">
            <w:pPr>
              <w:jc w:val="center"/>
              <w:rPr>
                <w:b/>
                <w:sz w:val="24"/>
              </w:rPr>
            </w:pPr>
            <w:proofErr w:type="spellStart"/>
            <w:r>
              <w:rPr>
                <w:b/>
                <w:sz w:val="26"/>
                <w:szCs w:val="26"/>
              </w:rPr>
              <w:t>Participant</w:t>
            </w:r>
            <w:proofErr w:type="spellEnd"/>
            <w:r>
              <w:rPr>
                <w:b/>
                <w:sz w:val="26"/>
                <w:szCs w:val="26"/>
              </w:rPr>
              <w:t xml:space="preserve"> </w:t>
            </w:r>
            <w:proofErr w:type="spellStart"/>
            <w:r>
              <w:rPr>
                <w:b/>
                <w:sz w:val="26"/>
                <w:szCs w:val="26"/>
              </w:rPr>
              <w:t>Information</w:t>
            </w:r>
            <w:proofErr w:type="spellEnd"/>
          </w:p>
        </w:tc>
      </w:tr>
      <w:tr w:rsidR="00FB5DA9" w14:paraId="4DFEA93A" w14:textId="77777777" w:rsidTr="00A732BC">
        <w:tc>
          <w:tcPr>
            <w:tcW w:w="9067" w:type="dxa"/>
          </w:tcPr>
          <w:p w14:paraId="34CD95F5" w14:textId="77777777" w:rsidR="00FB5DA9" w:rsidRPr="00AD4769" w:rsidRDefault="00FB5DA9" w:rsidP="00A732BC">
            <w:pPr>
              <w:rPr>
                <w:b/>
                <w:sz w:val="26"/>
                <w:szCs w:val="26"/>
              </w:rPr>
            </w:pPr>
            <w:proofErr w:type="spellStart"/>
            <w:r>
              <w:rPr>
                <w:rFonts w:ascii="Calibri" w:hAnsi="Calibri" w:cs="Calibri"/>
                <w:b/>
                <w:bCs/>
                <w:sz w:val="26"/>
                <w:szCs w:val="26"/>
              </w:rPr>
              <w:t>Name</w:t>
            </w:r>
            <w:proofErr w:type="spellEnd"/>
            <w:r>
              <w:rPr>
                <w:rFonts w:ascii="Calibri" w:hAnsi="Calibri" w:cs="Calibri"/>
                <w:b/>
                <w:bCs/>
                <w:sz w:val="26"/>
                <w:szCs w:val="26"/>
              </w:rPr>
              <w:t>:</w:t>
            </w:r>
          </w:p>
        </w:tc>
      </w:tr>
      <w:tr w:rsidR="00FB5DA9" w14:paraId="7AA1160A" w14:textId="77777777" w:rsidTr="00A732BC">
        <w:tc>
          <w:tcPr>
            <w:tcW w:w="9067" w:type="dxa"/>
          </w:tcPr>
          <w:p w14:paraId="3DAEEC03" w14:textId="77777777" w:rsidR="00FB5DA9" w:rsidRPr="00AD4769" w:rsidRDefault="00FB5DA9" w:rsidP="00A732BC">
            <w:pPr>
              <w:rPr>
                <w:b/>
                <w:sz w:val="26"/>
                <w:szCs w:val="26"/>
              </w:rPr>
            </w:pPr>
            <w:proofErr w:type="spellStart"/>
            <w:r>
              <w:rPr>
                <w:rFonts w:ascii="Calibri" w:hAnsi="Calibri" w:cs="Calibri"/>
                <w:b/>
                <w:bCs/>
                <w:sz w:val="26"/>
                <w:szCs w:val="26"/>
              </w:rPr>
              <w:t>Organization</w:t>
            </w:r>
            <w:proofErr w:type="spellEnd"/>
            <w:r>
              <w:rPr>
                <w:rFonts w:ascii="Calibri" w:hAnsi="Calibri" w:cs="Calibri"/>
                <w:b/>
                <w:bCs/>
                <w:sz w:val="26"/>
                <w:szCs w:val="26"/>
              </w:rPr>
              <w:t>:</w:t>
            </w:r>
          </w:p>
        </w:tc>
      </w:tr>
      <w:tr w:rsidR="00FB5DA9" w14:paraId="3390A8AF" w14:textId="77777777" w:rsidTr="00A732BC">
        <w:tc>
          <w:tcPr>
            <w:tcW w:w="9067" w:type="dxa"/>
          </w:tcPr>
          <w:p w14:paraId="10D76D81" w14:textId="77777777" w:rsidR="00FB5DA9" w:rsidRPr="00AD4769" w:rsidRDefault="00FB5DA9" w:rsidP="00A732BC">
            <w:pPr>
              <w:rPr>
                <w:b/>
                <w:sz w:val="26"/>
                <w:szCs w:val="26"/>
              </w:rPr>
            </w:pPr>
            <w:r>
              <w:rPr>
                <w:rFonts w:ascii="Calibri" w:hAnsi="Calibri" w:cs="Calibri"/>
                <w:b/>
                <w:bCs/>
                <w:sz w:val="26"/>
                <w:szCs w:val="26"/>
              </w:rPr>
              <w:t>Email:</w:t>
            </w:r>
          </w:p>
        </w:tc>
      </w:tr>
      <w:tr w:rsidR="00FB5DA9" w14:paraId="635DFE77" w14:textId="77777777" w:rsidTr="00A732BC">
        <w:tc>
          <w:tcPr>
            <w:tcW w:w="9067" w:type="dxa"/>
          </w:tcPr>
          <w:p w14:paraId="4FA40B9A" w14:textId="77777777" w:rsidR="00FB5DA9" w:rsidRPr="00AD4769" w:rsidRDefault="00FB5DA9" w:rsidP="00A732BC">
            <w:pPr>
              <w:rPr>
                <w:b/>
                <w:sz w:val="26"/>
                <w:szCs w:val="26"/>
              </w:rPr>
            </w:pPr>
            <w:proofErr w:type="spellStart"/>
            <w:r>
              <w:rPr>
                <w:rFonts w:ascii="Calibri" w:hAnsi="Calibri" w:cs="Calibri"/>
                <w:b/>
                <w:bCs/>
                <w:sz w:val="26"/>
                <w:szCs w:val="26"/>
              </w:rPr>
              <w:t>Telephone</w:t>
            </w:r>
            <w:proofErr w:type="spellEnd"/>
            <w:r>
              <w:rPr>
                <w:rFonts w:ascii="Calibri" w:hAnsi="Calibri" w:cs="Calibri"/>
                <w:b/>
                <w:bCs/>
                <w:sz w:val="26"/>
                <w:szCs w:val="26"/>
              </w:rPr>
              <w:t>:</w:t>
            </w:r>
          </w:p>
        </w:tc>
      </w:tr>
      <w:tr w:rsidR="00FB5DA9" w:rsidRPr="008A0B86" w14:paraId="4804D361" w14:textId="77777777" w:rsidTr="00A732BC">
        <w:tc>
          <w:tcPr>
            <w:tcW w:w="9067" w:type="dxa"/>
            <w:shd w:val="clear" w:color="auto" w:fill="E7E6E6" w:themeFill="background2"/>
          </w:tcPr>
          <w:p w14:paraId="27F80E2C" w14:textId="77777777" w:rsidR="00FB5DA9" w:rsidRPr="00FB5DA9" w:rsidRDefault="00FB5DA9" w:rsidP="00A732BC">
            <w:pPr>
              <w:pStyle w:val="NormalWeb"/>
              <w:spacing w:before="0" w:beforeAutospacing="0" w:after="0" w:afterAutospacing="0"/>
              <w:jc w:val="center"/>
              <w:rPr>
                <w:rFonts w:ascii="Calibri" w:hAnsi="Calibri" w:cs="Calibri"/>
                <w:b/>
                <w:bCs/>
                <w:sz w:val="26"/>
                <w:szCs w:val="26"/>
                <w:lang w:val="en-US"/>
              </w:rPr>
            </w:pPr>
            <w:r w:rsidRPr="008A0B86">
              <w:rPr>
                <w:rFonts w:ascii="Calibri" w:hAnsi="Calibri" w:cs="Calibri"/>
                <w:b/>
                <w:bCs/>
                <w:sz w:val="26"/>
                <w:szCs w:val="26"/>
                <w:lang w:val="en-US"/>
              </w:rPr>
              <w:t>Questions related to the regulation of fixed odds sports betting.</w:t>
            </w:r>
          </w:p>
          <w:p w14:paraId="724479E2" w14:textId="77777777" w:rsidR="00FB5DA9" w:rsidRPr="008A0B86" w:rsidRDefault="00FB5DA9" w:rsidP="00A732BC">
            <w:pPr>
              <w:pStyle w:val="NormalWeb"/>
              <w:spacing w:before="0" w:beforeAutospacing="0" w:after="0" w:afterAutospacing="0"/>
              <w:jc w:val="center"/>
              <w:rPr>
                <w:b/>
                <w:sz w:val="26"/>
                <w:szCs w:val="26"/>
                <w:lang w:val="en-US"/>
              </w:rPr>
            </w:pPr>
            <w:r w:rsidRPr="00FB5DA9">
              <w:rPr>
                <w:rFonts w:ascii="Calibri" w:hAnsi="Calibri" w:cs="Calibri"/>
                <w:b/>
                <w:bCs/>
                <w:sz w:val="26"/>
                <w:szCs w:val="26"/>
                <w:lang w:val="en-US"/>
              </w:rPr>
              <w:t>The participant may address only his/her topics of interest.</w:t>
            </w:r>
          </w:p>
        </w:tc>
      </w:tr>
      <w:tr w:rsidR="009959CE" w14:paraId="26C03223" w14:textId="77777777" w:rsidTr="00956964">
        <w:tc>
          <w:tcPr>
            <w:tcW w:w="9067" w:type="dxa"/>
          </w:tcPr>
          <w:p w14:paraId="6032F1E9" w14:textId="59157EB1"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 xml:space="preserve">1) Considering the intrinsic characteristics of fixed odds sports betting, in physical and virtual media, and the financial viability issues of the operation, </w:t>
            </w:r>
            <w:r>
              <w:rPr>
                <w:rFonts w:ascii="Calibri" w:hAnsi="Calibri" w:cs="Calibri"/>
                <w:color w:val="000000"/>
                <w:sz w:val="22"/>
                <w:szCs w:val="22"/>
                <w:lang w:val="en-US"/>
              </w:rPr>
              <w:t xml:space="preserve">is </w:t>
            </w:r>
            <w:r w:rsidRPr="008A0B86">
              <w:rPr>
                <w:rFonts w:ascii="Calibri" w:hAnsi="Calibri" w:cs="Calibri"/>
                <w:color w:val="000000"/>
                <w:sz w:val="22"/>
                <w:szCs w:val="22"/>
                <w:lang w:val="en-US"/>
              </w:rPr>
              <w:t>the distribution of the revenue, provided for in article 30 of </w:t>
            </w:r>
            <w:r w:rsidRPr="008A0B86">
              <w:rPr>
                <w:rFonts w:ascii="Calibri" w:hAnsi="Calibri" w:cs="Calibri"/>
                <w:color w:val="000000"/>
                <w:sz w:val="22"/>
                <w:szCs w:val="22"/>
                <w:shd w:val="clear" w:color="auto" w:fill="FFFFFF"/>
                <w:lang w:val="en-US"/>
              </w:rPr>
              <w:t>Law No. 13.756, of December </w:t>
            </w:r>
            <w:r>
              <w:rPr>
                <w:rFonts w:ascii="Calibri" w:hAnsi="Calibri" w:cs="Calibri"/>
                <w:color w:val="000000"/>
                <w:sz w:val="22"/>
                <w:szCs w:val="22"/>
                <w:shd w:val="clear" w:color="auto" w:fill="FFFFFF"/>
                <w:lang w:val="en-US"/>
              </w:rPr>
              <w:t>1</w:t>
            </w:r>
            <w:r w:rsidRPr="008A0B86">
              <w:rPr>
                <w:rFonts w:ascii="Calibri" w:hAnsi="Calibri" w:cs="Calibri"/>
                <w:color w:val="1F497D"/>
                <w:sz w:val="22"/>
                <w:szCs w:val="22"/>
                <w:shd w:val="clear" w:color="auto" w:fill="FFFFFF"/>
                <w:lang w:val="en-US"/>
              </w:rPr>
              <w:t>2</w:t>
            </w:r>
            <w:r w:rsidRPr="008A0B86">
              <w:rPr>
                <w:rFonts w:ascii="Calibri" w:hAnsi="Calibri" w:cs="Calibri"/>
                <w:color w:val="000000"/>
                <w:sz w:val="22"/>
                <w:szCs w:val="22"/>
                <w:shd w:val="clear" w:color="auto" w:fill="FFFFFF"/>
                <w:lang w:val="en-US"/>
              </w:rPr>
              <w:t>, 2018</w:t>
            </w:r>
            <w:r>
              <w:rPr>
                <w:rFonts w:ascii="Calibri" w:hAnsi="Calibri" w:cs="Calibri"/>
                <w:color w:val="000000"/>
                <w:sz w:val="22"/>
                <w:szCs w:val="22"/>
                <w:shd w:val="clear" w:color="auto" w:fill="FFFFFF"/>
                <w:lang w:val="en-US"/>
              </w:rPr>
              <w:t xml:space="preserve">, </w:t>
            </w:r>
            <w:r w:rsidRPr="008A0B86">
              <w:rPr>
                <w:rFonts w:ascii="Calibri" w:hAnsi="Calibri" w:cs="Calibri"/>
                <w:color w:val="000000"/>
                <w:sz w:val="22"/>
                <w:szCs w:val="22"/>
                <w:lang w:val="en-US"/>
              </w:rPr>
              <w:t>appropriate</w:t>
            </w:r>
            <w:r w:rsidRPr="008A0B86">
              <w:rPr>
                <w:rFonts w:ascii="Calibri" w:hAnsi="Calibri" w:cs="Calibri"/>
                <w:color w:val="000000"/>
                <w:sz w:val="22"/>
                <w:szCs w:val="22"/>
                <w:shd w:val="clear" w:color="auto" w:fill="FFFFFF"/>
                <w:lang w:val="en-US"/>
              </w:rPr>
              <w:t>?</w:t>
            </w:r>
            <w:r>
              <w:rPr>
                <w:rFonts w:ascii="Calibri" w:hAnsi="Calibri" w:cs="Calibri"/>
                <w:color w:val="000000"/>
                <w:sz w:val="22"/>
                <w:szCs w:val="22"/>
                <w:shd w:val="clear" w:color="auto" w:fill="FFFFFF"/>
                <w:lang w:val="en-US"/>
              </w:rPr>
              <w:t xml:space="preserve"> What</w:t>
            </w:r>
            <w:r w:rsidRPr="008A0B86">
              <w:rPr>
                <w:rFonts w:ascii="Calibri" w:hAnsi="Calibri" w:cs="Calibri"/>
                <w:color w:val="1F497D"/>
                <w:sz w:val="22"/>
                <w:szCs w:val="22"/>
                <w:shd w:val="clear" w:color="auto" w:fill="FFFFFF"/>
                <w:lang w:val="en-US"/>
              </w:rPr>
              <w:t> </w:t>
            </w:r>
            <w:r w:rsidRPr="008A0B86">
              <w:rPr>
                <w:rFonts w:ascii="Calibri" w:hAnsi="Calibri" w:cs="Calibri"/>
                <w:color w:val="000000"/>
                <w:sz w:val="22"/>
                <w:szCs w:val="22"/>
                <w:shd w:val="clear" w:color="auto" w:fill="FFFFFF"/>
                <w:lang w:val="en-US"/>
              </w:rPr>
              <w:t>would be the most appropriate form of legal provision for this distribution? Is there any jurisdiction</w:t>
            </w:r>
            <w:r>
              <w:rPr>
                <w:rFonts w:ascii="Calibri" w:hAnsi="Calibri" w:cs="Calibri"/>
                <w:color w:val="000000"/>
                <w:sz w:val="22"/>
                <w:szCs w:val="22"/>
                <w:shd w:val="clear" w:color="auto" w:fill="FFFFFF"/>
                <w:lang w:val="en-US"/>
              </w:rPr>
              <w:t xml:space="preserve"> around the globe</w:t>
            </w:r>
            <w:r w:rsidRPr="008A0B86">
              <w:rPr>
                <w:rFonts w:ascii="Calibri" w:hAnsi="Calibri" w:cs="Calibri"/>
                <w:color w:val="000000"/>
                <w:sz w:val="22"/>
                <w:szCs w:val="22"/>
                <w:shd w:val="clear" w:color="auto" w:fill="FFFFFF"/>
                <w:lang w:val="en-US"/>
              </w:rPr>
              <w:t xml:space="preserve"> with this </w:t>
            </w:r>
            <w:r>
              <w:rPr>
                <w:rFonts w:ascii="Calibri" w:hAnsi="Calibri" w:cs="Calibri"/>
                <w:color w:val="000000"/>
                <w:sz w:val="22"/>
                <w:szCs w:val="22"/>
                <w:shd w:val="clear" w:color="auto" w:fill="FFFFFF"/>
                <w:lang w:val="en-US"/>
              </w:rPr>
              <w:t>distribution</w:t>
            </w:r>
            <w:r w:rsidRPr="008A0B86">
              <w:rPr>
                <w:rFonts w:ascii="Calibri" w:hAnsi="Calibri" w:cs="Calibri"/>
                <w:color w:val="000000"/>
                <w:sz w:val="22"/>
                <w:szCs w:val="22"/>
                <w:shd w:val="clear" w:color="auto" w:fill="FFFFFF"/>
                <w:lang w:val="en-US"/>
              </w:rPr>
              <w:t>? Justify your answer.</w:t>
            </w:r>
            <w:r w:rsidRPr="008A0B86">
              <w:rPr>
                <w:rFonts w:ascii="Calibri" w:hAnsi="Calibri" w:cs="Calibri"/>
                <w:color w:val="000000"/>
                <w:sz w:val="22"/>
                <w:szCs w:val="22"/>
                <w:lang w:val="en-US"/>
              </w:rPr>
              <w:t> </w:t>
            </w:r>
            <w:r w:rsidRPr="008A0B86">
              <w:rPr>
                <w:rFonts w:ascii="Calibri" w:hAnsi="Calibri" w:cs="Calibri"/>
                <w:color w:val="000000"/>
                <w:sz w:val="22"/>
                <w:szCs w:val="22"/>
                <w:shd w:val="clear" w:color="auto" w:fill="FFFFFF"/>
                <w:lang w:val="en-US"/>
              </w:rPr>
              <w:t>  </w:t>
            </w:r>
          </w:p>
          <w:p w14:paraId="1D774E6A" w14:textId="77777777"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 </w:t>
            </w:r>
          </w:p>
          <w:p w14:paraId="0507F906" w14:textId="23217A7F"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shd w:val="clear" w:color="auto" w:fill="FFFFFF"/>
                <w:lang w:val="en-US"/>
              </w:rPr>
              <w:t xml:space="preserve">2) </w:t>
            </w:r>
            <w:r>
              <w:rPr>
                <w:rFonts w:ascii="Calibri" w:hAnsi="Calibri" w:cs="Calibri"/>
                <w:color w:val="000000"/>
                <w:sz w:val="22"/>
                <w:szCs w:val="22"/>
                <w:shd w:val="clear" w:color="auto" w:fill="FFFFFF"/>
                <w:lang w:val="en-US"/>
              </w:rPr>
              <w:t xml:space="preserve">In a </w:t>
            </w:r>
            <w:r w:rsidRPr="008A0B86">
              <w:rPr>
                <w:rFonts w:ascii="Calibri" w:hAnsi="Calibri" w:cs="Calibri"/>
                <w:color w:val="000000"/>
                <w:sz w:val="22"/>
                <w:szCs w:val="22"/>
                <w:shd w:val="clear" w:color="auto" w:fill="FFFFFF"/>
                <w:lang w:val="en-US"/>
              </w:rPr>
              <w:t>fixed-</w:t>
            </w:r>
            <w:r>
              <w:rPr>
                <w:rFonts w:ascii="Calibri" w:hAnsi="Calibri" w:cs="Calibri"/>
                <w:color w:val="000000"/>
                <w:sz w:val="22"/>
                <w:szCs w:val="22"/>
                <w:shd w:val="clear" w:color="auto" w:fill="FFFFFF"/>
                <w:lang w:val="en-US"/>
              </w:rPr>
              <w:t>odds</w:t>
            </w:r>
            <w:r w:rsidRPr="008A0B86">
              <w:rPr>
                <w:rFonts w:ascii="Calibri" w:hAnsi="Calibri" w:cs="Calibri"/>
                <w:color w:val="000000"/>
                <w:sz w:val="22"/>
                <w:szCs w:val="22"/>
                <w:shd w:val="clear" w:color="auto" w:fill="FFFFFF"/>
                <w:lang w:val="en-US"/>
              </w:rPr>
              <w:t> sports betting </w:t>
            </w:r>
            <w:r>
              <w:rPr>
                <w:rFonts w:ascii="Calibri" w:hAnsi="Calibri" w:cs="Calibri"/>
                <w:color w:val="000000"/>
                <w:sz w:val="22"/>
                <w:szCs w:val="22"/>
                <w:shd w:val="clear" w:color="auto" w:fill="FFFFFF"/>
                <w:lang w:val="en-US"/>
              </w:rPr>
              <w:t xml:space="preserve">operation, what are the existing means </w:t>
            </w:r>
            <w:r w:rsidRPr="008A0B86">
              <w:rPr>
                <w:rFonts w:ascii="Calibri" w:hAnsi="Calibri" w:cs="Calibri"/>
                <w:color w:val="000000"/>
                <w:sz w:val="22"/>
                <w:szCs w:val="22"/>
                <w:shd w:val="clear" w:color="auto" w:fill="FFFFFF"/>
                <w:lang w:val="en-US"/>
              </w:rPr>
              <w:t>that can be shared with the regulator to provide robust oversight and control elements? Exemplify.</w:t>
            </w:r>
          </w:p>
          <w:p w14:paraId="1DE91DB8" w14:textId="77777777"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 </w:t>
            </w:r>
          </w:p>
          <w:p w14:paraId="1325DAB6" w14:textId="1B64FA70"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shd w:val="clear" w:color="auto" w:fill="FFFFFF"/>
                <w:lang w:val="en-US"/>
              </w:rPr>
              <w:t>3) Which government agency or State fixed</w:t>
            </w:r>
            <w:r>
              <w:rPr>
                <w:rFonts w:ascii="Calibri" w:hAnsi="Calibri" w:cs="Calibri"/>
                <w:color w:val="000000"/>
                <w:sz w:val="22"/>
                <w:szCs w:val="22"/>
                <w:shd w:val="clear" w:color="auto" w:fill="FFFFFF"/>
                <w:lang w:val="en-US"/>
              </w:rPr>
              <w:t xml:space="preserve">-odds </w:t>
            </w:r>
            <w:r w:rsidRPr="008A0B86">
              <w:rPr>
                <w:rFonts w:ascii="Calibri" w:hAnsi="Calibri" w:cs="Calibri"/>
                <w:color w:val="000000"/>
                <w:sz w:val="22"/>
                <w:szCs w:val="22"/>
                <w:shd w:val="clear" w:color="auto" w:fill="FFFFFF"/>
                <w:lang w:val="en-US"/>
              </w:rPr>
              <w:t>sports betting</w:t>
            </w:r>
            <w:r>
              <w:rPr>
                <w:rFonts w:ascii="Calibri" w:hAnsi="Calibri" w:cs="Calibri"/>
                <w:color w:val="000000"/>
                <w:sz w:val="22"/>
                <w:szCs w:val="22"/>
                <w:shd w:val="clear" w:color="auto" w:fill="FFFFFF"/>
                <w:lang w:val="en-US"/>
              </w:rPr>
              <w:t xml:space="preserve"> </w:t>
            </w:r>
            <w:r w:rsidRPr="008A0B86">
              <w:rPr>
                <w:rFonts w:ascii="Calibri" w:hAnsi="Calibri" w:cs="Calibri"/>
                <w:color w:val="000000"/>
                <w:sz w:val="22"/>
                <w:szCs w:val="22"/>
                <w:shd w:val="clear" w:color="auto" w:fill="FFFFFF"/>
                <w:lang w:val="en-US"/>
              </w:rPr>
              <w:t>regulat</w:t>
            </w:r>
            <w:r>
              <w:rPr>
                <w:rFonts w:ascii="Calibri" w:hAnsi="Calibri" w:cs="Calibri"/>
                <w:color w:val="000000"/>
                <w:sz w:val="22"/>
                <w:szCs w:val="22"/>
                <w:shd w:val="clear" w:color="auto" w:fill="FFFFFF"/>
                <w:lang w:val="en-US"/>
              </w:rPr>
              <w:t>ory</w:t>
            </w:r>
            <w:r w:rsidRPr="008A0B86">
              <w:rPr>
                <w:rFonts w:ascii="Calibri" w:hAnsi="Calibri" w:cs="Calibri"/>
                <w:color w:val="000000"/>
                <w:sz w:val="22"/>
                <w:szCs w:val="22"/>
                <w:shd w:val="clear" w:color="auto" w:fill="FFFFFF"/>
                <w:lang w:val="en-US"/>
              </w:rPr>
              <w:t xml:space="preserve"> body can serve as </w:t>
            </w:r>
            <w:r w:rsidRPr="008A0B86">
              <w:rPr>
                <w:rFonts w:ascii="Calibri" w:hAnsi="Calibri" w:cs="Calibri"/>
                <w:i/>
                <w:iCs/>
                <w:color w:val="000000"/>
                <w:sz w:val="22"/>
                <w:szCs w:val="22"/>
                <w:shd w:val="clear" w:color="auto" w:fill="FFFFFF"/>
                <w:lang w:val="en-US"/>
              </w:rPr>
              <w:t>benchmark </w:t>
            </w:r>
            <w:r w:rsidRPr="008A0B86">
              <w:rPr>
                <w:rFonts w:ascii="Calibri" w:hAnsi="Calibri" w:cs="Calibri"/>
                <w:color w:val="000000"/>
                <w:sz w:val="22"/>
                <w:szCs w:val="22"/>
                <w:shd w:val="clear" w:color="auto" w:fill="FFFFFF"/>
                <w:lang w:val="en-US"/>
              </w:rPr>
              <w:t>for the future operation in Brazil? Justify your answer.  </w:t>
            </w:r>
          </w:p>
          <w:p w14:paraId="2E443ACE" w14:textId="77777777"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 </w:t>
            </w:r>
          </w:p>
          <w:p w14:paraId="0A90BDA4" w14:textId="0B6A4BB3"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4) What are the minimum surveillance, control and monitoring processes</w:t>
            </w:r>
            <w:r>
              <w:rPr>
                <w:rFonts w:ascii="Calibri" w:hAnsi="Calibri" w:cs="Calibri"/>
                <w:color w:val="000000"/>
                <w:sz w:val="22"/>
                <w:szCs w:val="22"/>
                <w:lang w:val="en-US"/>
              </w:rPr>
              <w:t xml:space="preserve"> in the industry</w:t>
            </w:r>
            <w:r w:rsidRPr="008A0B86">
              <w:rPr>
                <w:rFonts w:ascii="Calibri" w:hAnsi="Calibri" w:cs="Calibri"/>
                <w:color w:val="000000"/>
                <w:sz w:val="22"/>
                <w:szCs w:val="22"/>
                <w:lang w:val="en-US"/>
              </w:rPr>
              <w:t xml:space="preserve">? How can the </w:t>
            </w:r>
            <w:r>
              <w:rPr>
                <w:rFonts w:ascii="Calibri" w:hAnsi="Calibri" w:cs="Calibri"/>
                <w:color w:val="000000"/>
                <w:sz w:val="22"/>
                <w:szCs w:val="22"/>
                <w:lang w:val="en-US"/>
              </w:rPr>
              <w:t>industry</w:t>
            </w:r>
            <w:r w:rsidRPr="008A0B86">
              <w:rPr>
                <w:rFonts w:ascii="Calibri" w:hAnsi="Calibri" w:cs="Calibri"/>
                <w:color w:val="000000"/>
                <w:sz w:val="22"/>
                <w:szCs w:val="22"/>
                <w:lang w:val="en-US"/>
              </w:rPr>
              <w:t xml:space="preserve"> interact with the government? Are there any changes to criminal law or regulations that can help combat illegal gambling? </w:t>
            </w:r>
          </w:p>
          <w:p w14:paraId="6DC7F705" w14:textId="77777777"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 </w:t>
            </w:r>
          </w:p>
          <w:p w14:paraId="2B5C6EBB" w14:textId="4BB92B87"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5) What would make the process more attractive</w:t>
            </w:r>
            <w:r w:rsidRPr="008A0B86">
              <w:rPr>
                <w:rFonts w:ascii="Calibri" w:hAnsi="Calibri" w:cs="Calibri"/>
                <w:color w:val="1F497D"/>
                <w:sz w:val="22"/>
                <w:szCs w:val="22"/>
                <w:lang w:val="en-US"/>
              </w:rPr>
              <w:t>: </w:t>
            </w:r>
            <w:r>
              <w:rPr>
                <w:rFonts w:ascii="Calibri" w:hAnsi="Calibri" w:cs="Calibri"/>
                <w:color w:val="000000"/>
                <w:sz w:val="22"/>
                <w:szCs w:val="22"/>
                <w:lang w:val="en-US"/>
              </w:rPr>
              <w:t>concession</w:t>
            </w:r>
            <w:r w:rsidRPr="008A0B86">
              <w:rPr>
                <w:rFonts w:ascii="Calibri" w:hAnsi="Calibri" w:cs="Calibri"/>
                <w:color w:val="000000"/>
                <w:sz w:val="22"/>
                <w:szCs w:val="22"/>
                <w:lang w:val="en-US"/>
              </w:rPr>
              <w:t xml:space="preserve"> or </w:t>
            </w:r>
            <w:r>
              <w:rPr>
                <w:rFonts w:ascii="Calibri" w:hAnsi="Calibri" w:cs="Calibri"/>
                <w:color w:val="000000"/>
                <w:sz w:val="22"/>
                <w:szCs w:val="22"/>
                <w:lang w:val="en-US"/>
              </w:rPr>
              <w:t>permission</w:t>
            </w:r>
            <w:r w:rsidRPr="008A0B86">
              <w:rPr>
                <w:rFonts w:ascii="Calibri" w:hAnsi="Calibri" w:cs="Calibri"/>
                <w:color w:val="000000"/>
                <w:sz w:val="22"/>
                <w:szCs w:val="22"/>
                <w:lang w:val="en-US"/>
              </w:rPr>
              <w:t>? If concession, what would be the minimum number of companies? Justify your answer.  </w:t>
            </w:r>
          </w:p>
          <w:p w14:paraId="1410D5C7" w14:textId="77777777"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 </w:t>
            </w:r>
          </w:p>
          <w:p w14:paraId="64E5DE99" w14:textId="77777777"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6) In your assessment, are there any points in Law No. 13,756, of December 12, 2018, which require adjustment, improvement or correction? What is the suggestion to change this legal instrument? Justify your answer.  </w:t>
            </w:r>
          </w:p>
          <w:p w14:paraId="61999355" w14:textId="77777777" w:rsidR="008A0B86" w:rsidRPr="008A0B86" w:rsidRDefault="008A0B86" w:rsidP="008A0B86">
            <w:pPr>
              <w:pStyle w:val="NormalWeb"/>
              <w:spacing w:before="0" w:beforeAutospacing="0" w:after="0" w:afterAutospacing="0"/>
              <w:ind w:left="360" w:hanging="360"/>
              <w:jc w:val="both"/>
              <w:rPr>
                <w:color w:val="000000"/>
                <w:sz w:val="27"/>
                <w:szCs w:val="27"/>
                <w:lang w:val="en-US"/>
              </w:rPr>
            </w:pPr>
            <w:r w:rsidRPr="008A0B86">
              <w:rPr>
                <w:rFonts w:ascii="Calibri" w:hAnsi="Calibri" w:cs="Calibri"/>
                <w:color w:val="000000"/>
                <w:sz w:val="22"/>
                <w:szCs w:val="22"/>
                <w:lang w:val="en-US"/>
              </w:rPr>
              <w:t> </w:t>
            </w:r>
          </w:p>
          <w:p w14:paraId="5BB61877" w14:textId="56F1332F" w:rsidR="008A0B86" w:rsidRDefault="008A0B86" w:rsidP="008A0B86">
            <w:pPr>
              <w:pStyle w:val="NormalWeb"/>
              <w:spacing w:before="0" w:beforeAutospacing="0" w:after="0" w:afterAutospacing="0"/>
              <w:ind w:left="360" w:hanging="360"/>
              <w:jc w:val="both"/>
              <w:rPr>
                <w:color w:val="000000"/>
                <w:sz w:val="27"/>
                <w:szCs w:val="27"/>
              </w:rPr>
            </w:pPr>
            <w:r w:rsidRPr="008A0B86">
              <w:rPr>
                <w:rFonts w:ascii="Calibri" w:hAnsi="Calibri" w:cs="Calibri"/>
                <w:color w:val="000000"/>
                <w:sz w:val="22"/>
                <w:szCs w:val="22"/>
                <w:lang w:val="en-US"/>
              </w:rPr>
              <w:t>7) Are there any points that you consider essential in the future regulation of fixed</w:t>
            </w:r>
            <w:r w:rsidR="00FB5DA9">
              <w:rPr>
                <w:rFonts w:ascii="Calibri" w:hAnsi="Calibri" w:cs="Calibri"/>
                <w:color w:val="000000"/>
                <w:sz w:val="22"/>
                <w:szCs w:val="22"/>
                <w:lang w:val="en-US"/>
              </w:rPr>
              <w:t>-</w:t>
            </w:r>
            <w:r w:rsidRPr="008A0B86">
              <w:rPr>
                <w:rFonts w:ascii="Calibri" w:hAnsi="Calibri" w:cs="Calibri"/>
                <w:color w:val="000000"/>
                <w:sz w:val="22"/>
                <w:szCs w:val="22"/>
                <w:lang w:val="en-US"/>
              </w:rPr>
              <w:t>odds </w:t>
            </w:r>
            <w:r w:rsidRPr="008A0B86">
              <w:rPr>
                <w:rFonts w:ascii="Calibri" w:hAnsi="Calibri" w:cs="Calibri"/>
                <w:color w:val="000000"/>
                <w:sz w:val="22"/>
                <w:szCs w:val="22"/>
                <w:shd w:val="clear" w:color="auto" w:fill="FFFFFF"/>
                <w:lang w:val="en-US"/>
              </w:rPr>
              <w:t>sports</w:t>
            </w:r>
            <w:r w:rsidR="00FB5DA9">
              <w:rPr>
                <w:rFonts w:ascii="Calibri" w:hAnsi="Calibri" w:cs="Calibri"/>
                <w:color w:val="000000"/>
                <w:sz w:val="22"/>
                <w:szCs w:val="22"/>
                <w:shd w:val="clear" w:color="auto" w:fill="FFFFFF"/>
                <w:lang w:val="en-US"/>
              </w:rPr>
              <w:t xml:space="preserve"> </w:t>
            </w:r>
            <w:r w:rsidR="00FB5DA9" w:rsidRPr="008A0B86">
              <w:rPr>
                <w:rFonts w:ascii="Calibri" w:hAnsi="Calibri" w:cs="Calibri"/>
                <w:color w:val="000000"/>
                <w:sz w:val="22"/>
                <w:szCs w:val="22"/>
                <w:lang w:val="en-US"/>
              </w:rPr>
              <w:t>betting?</w:t>
            </w:r>
            <w:r w:rsidRPr="008A0B86">
              <w:rPr>
                <w:rFonts w:ascii="Calibri" w:hAnsi="Calibri" w:cs="Calibri"/>
                <w:color w:val="000000"/>
                <w:sz w:val="22"/>
                <w:szCs w:val="22"/>
                <w:lang w:val="en-US"/>
              </w:rPr>
              <w:t> What would be the ideal regulatory model, considering the national legal system? </w:t>
            </w:r>
            <w:proofErr w:type="spellStart"/>
            <w:r>
              <w:rPr>
                <w:rFonts w:ascii="Calibri" w:hAnsi="Calibri" w:cs="Calibri"/>
                <w:color w:val="000000"/>
                <w:sz w:val="22"/>
                <w:szCs w:val="22"/>
              </w:rPr>
              <w:t>Comment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exemplify</w:t>
            </w:r>
            <w:proofErr w:type="spellEnd"/>
            <w:r>
              <w:rPr>
                <w:rFonts w:ascii="Calibri" w:hAnsi="Calibri" w:cs="Calibri"/>
                <w:color w:val="000000"/>
                <w:sz w:val="22"/>
                <w:szCs w:val="22"/>
              </w:rPr>
              <w:t>. </w:t>
            </w:r>
            <w:r>
              <w:rPr>
                <w:rFonts w:ascii="Calibri" w:hAnsi="Calibri" w:cs="Calibri"/>
                <w:color w:val="1F497D"/>
                <w:sz w:val="22"/>
                <w:szCs w:val="22"/>
              </w:rPr>
              <w:t> </w:t>
            </w:r>
          </w:p>
          <w:p w14:paraId="5CE3B5BE" w14:textId="0D177503" w:rsidR="009959CE" w:rsidRPr="00FB5DA9" w:rsidRDefault="009959CE" w:rsidP="00FB5DA9">
            <w:pPr>
              <w:jc w:val="both"/>
              <w:rPr>
                <w:rFonts w:cstheme="minorHAnsi"/>
                <w:color w:val="000000"/>
                <w:shd w:val="clear" w:color="auto" w:fill="FFFFFF"/>
              </w:rPr>
            </w:pPr>
          </w:p>
        </w:tc>
      </w:tr>
      <w:tr w:rsidR="009959CE" w14:paraId="3B506A39" w14:textId="77777777" w:rsidTr="00956964">
        <w:tc>
          <w:tcPr>
            <w:tcW w:w="9067" w:type="dxa"/>
            <w:shd w:val="clear" w:color="auto" w:fill="E7E6E6" w:themeFill="background2"/>
          </w:tcPr>
          <w:p w14:paraId="365022B6" w14:textId="77777777" w:rsidR="009959CE" w:rsidRPr="00AD4769" w:rsidRDefault="009959CE" w:rsidP="009959CE">
            <w:pPr>
              <w:jc w:val="center"/>
              <w:rPr>
                <w:b/>
                <w:sz w:val="26"/>
                <w:szCs w:val="26"/>
              </w:rPr>
            </w:pPr>
          </w:p>
        </w:tc>
      </w:tr>
      <w:tr w:rsidR="009959CE" w:rsidRPr="00FB5DA9" w14:paraId="2F48C73B" w14:textId="77777777" w:rsidTr="00956964">
        <w:trPr>
          <w:trHeight w:val="2407"/>
        </w:trPr>
        <w:tc>
          <w:tcPr>
            <w:tcW w:w="9067" w:type="dxa"/>
          </w:tcPr>
          <w:p w14:paraId="1707D8D6" w14:textId="77777777" w:rsidR="009959CE" w:rsidRPr="00AD4769" w:rsidRDefault="009959CE" w:rsidP="009959CE">
            <w:pPr>
              <w:jc w:val="center"/>
              <w:rPr>
                <w:i/>
                <w:sz w:val="26"/>
                <w:szCs w:val="26"/>
              </w:rPr>
            </w:pPr>
          </w:p>
          <w:p w14:paraId="2A5C3ACE" w14:textId="58D21345" w:rsidR="009959CE" w:rsidRPr="00FB5DA9" w:rsidRDefault="00FB5DA9" w:rsidP="00FB5DA9">
            <w:pPr>
              <w:jc w:val="center"/>
              <w:rPr>
                <w:i/>
                <w:sz w:val="26"/>
                <w:szCs w:val="26"/>
                <w:lang w:val="en-US"/>
              </w:rPr>
            </w:pPr>
            <w:r w:rsidRPr="00FB5DA9">
              <w:rPr>
                <w:rFonts w:ascii="Calibri" w:hAnsi="Calibri" w:cs="Calibri"/>
                <w:i/>
                <w:iCs/>
                <w:color w:val="D0CECE"/>
                <w:sz w:val="26"/>
                <w:szCs w:val="26"/>
                <w:lang w:val="en-US"/>
              </w:rPr>
              <w:t>[Enter question number and related answer]</w:t>
            </w:r>
          </w:p>
        </w:tc>
      </w:tr>
      <w:tr w:rsidR="009959CE" w14:paraId="7B0960BB" w14:textId="77777777" w:rsidTr="00956964">
        <w:trPr>
          <w:trHeight w:val="516"/>
        </w:trPr>
        <w:tc>
          <w:tcPr>
            <w:tcW w:w="9067" w:type="dxa"/>
            <w:shd w:val="clear" w:color="auto" w:fill="E7E6E6" w:themeFill="background2"/>
          </w:tcPr>
          <w:p w14:paraId="160FE679" w14:textId="77777777" w:rsidR="009959CE" w:rsidRPr="00AD4769" w:rsidRDefault="009959CE" w:rsidP="009959CE">
            <w:pPr>
              <w:jc w:val="center"/>
              <w:rPr>
                <w:b/>
                <w:sz w:val="26"/>
                <w:szCs w:val="26"/>
              </w:rPr>
            </w:pPr>
            <w:r w:rsidRPr="00AD4769">
              <w:rPr>
                <w:b/>
                <w:sz w:val="26"/>
                <w:szCs w:val="26"/>
              </w:rPr>
              <w:t>Informações adicionais</w:t>
            </w:r>
          </w:p>
        </w:tc>
      </w:tr>
      <w:tr w:rsidR="009959CE" w:rsidRPr="00FB5DA9" w14:paraId="2B899744" w14:textId="77777777" w:rsidTr="00956964">
        <w:trPr>
          <w:trHeight w:val="1975"/>
        </w:trPr>
        <w:tc>
          <w:tcPr>
            <w:tcW w:w="9067" w:type="dxa"/>
          </w:tcPr>
          <w:p w14:paraId="31D0EFA7" w14:textId="77777777" w:rsidR="009959CE" w:rsidRPr="00FB5DA9" w:rsidRDefault="009959CE" w:rsidP="009959CE">
            <w:pPr>
              <w:jc w:val="center"/>
              <w:rPr>
                <w:b/>
                <w:sz w:val="26"/>
                <w:szCs w:val="26"/>
                <w:lang w:val="en-US"/>
              </w:rPr>
            </w:pPr>
          </w:p>
          <w:p w14:paraId="44D25D36" w14:textId="190AF9DB" w:rsidR="009959CE" w:rsidRPr="00FB5DA9" w:rsidRDefault="00FB5DA9" w:rsidP="009959CE">
            <w:pPr>
              <w:jc w:val="center"/>
              <w:rPr>
                <w:b/>
                <w:sz w:val="26"/>
                <w:szCs w:val="26"/>
                <w:lang w:val="en-US"/>
              </w:rPr>
            </w:pPr>
            <w:r w:rsidRPr="00FB5DA9">
              <w:rPr>
                <w:rFonts w:ascii="Calibri" w:hAnsi="Calibri" w:cs="Calibri"/>
                <w:i/>
                <w:iCs/>
                <w:color w:val="D0CECE"/>
                <w:sz w:val="26"/>
                <w:szCs w:val="26"/>
                <w:lang w:val="en-US"/>
              </w:rPr>
              <w:t>[If you need to enter additional information to assist in the analysis of the contribution here]</w:t>
            </w:r>
          </w:p>
          <w:p w14:paraId="554EAFD1" w14:textId="77777777" w:rsidR="009959CE" w:rsidRPr="00FB5DA9" w:rsidRDefault="009959CE" w:rsidP="009959CE">
            <w:pPr>
              <w:jc w:val="center"/>
              <w:rPr>
                <w:b/>
                <w:sz w:val="26"/>
                <w:szCs w:val="26"/>
                <w:lang w:val="en-US"/>
              </w:rPr>
            </w:pPr>
          </w:p>
          <w:p w14:paraId="46BBBE8A" w14:textId="77777777" w:rsidR="009959CE" w:rsidRPr="00FB5DA9" w:rsidRDefault="009959CE" w:rsidP="009959CE">
            <w:pPr>
              <w:jc w:val="center"/>
              <w:rPr>
                <w:b/>
                <w:sz w:val="26"/>
                <w:szCs w:val="26"/>
                <w:lang w:val="en-US"/>
              </w:rPr>
            </w:pPr>
          </w:p>
        </w:tc>
      </w:tr>
    </w:tbl>
    <w:p w14:paraId="587CCB17" w14:textId="77777777" w:rsidR="009959CE" w:rsidRPr="00FB5DA9" w:rsidRDefault="009959CE" w:rsidP="009959CE">
      <w:pPr>
        <w:jc w:val="center"/>
        <w:rPr>
          <w:b/>
          <w:sz w:val="24"/>
          <w:lang w:val="en-US"/>
        </w:rPr>
      </w:pPr>
    </w:p>
    <w:sectPr w:rsidR="009959CE" w:rsidRPr="00FB5DA9" w:rsidSect="00956964">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80DED"/>
    <w:multiLevelType w:val="hybridMultilevel"/>
    <w:tmpl w:val="D408D6C4"/>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2FB14E35"/>
    <w:multiLevelType w:val="hybridMultilevel"/>
    <w:tmpl w:val="D408D6C4"/>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62B0525F"/>
    <w:multiLevelType w:val="hybridMultilevel"/>
    <w:tmpl w:val="CAB06FD8"/>
    <w:lvl w:ilvl="0" w:tplc="BB7AE668">
      <w:start w:val="3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15"/>
    <w:rsid w:val="000E5D68"/>
    <w:rsid w:val="00250F6E"/>
    <w:rsid w:val="002822BC"/>
    <w:rsid w:val="00300D92"/>
    <w:rsid w:val="00306392"/>
    <w:rsid w:val="00420F67"/>
    <w:rsid w:val="004C6452"/>
    <w:rsid w:val="005D1CA1"/>
    <w:rsid w:val="008632CE"/>
    <w:rsid w:val="00882F15"/>
    <w:rsid w:val="008A0B86"/>
    <w:rsid w:val="0095374B"/>
    <w:rsid w:val="00956964"/>
    <w:rsid w:val="009959CE"/>
    <w:rsid w:val="00AD4769"/>
    <w:rsid w:val="00AE3AEF"/>
    <w:rsid w:val="00B02B25"/>
    <w:rsid w:val="00B37348"/>
    <w:rsid w:val="00B70457"/>
    <w:rsid w:val="00BC1F52"/>
    <w:rsid w:val="00D016C1"/>
    <w:rsid w:val="00DB6234"/>
    <w:rsid w:val="00EE400D"/>
    <w:rsid w:val="00F535CD"/>
    <w:rsid w:val="00F94718"/>
    <w:rsid w:val="00FB5D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E09E"/>
  <w15:chartTrackingRefBased/>
  <w15:docId w15:val="{A1CE5CB1-8524-4F37-BDF9-518BEC51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56964"/>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956964"/>
    <w:rPr>
      <w:sz w:val="16"/>
      <w:szCs w:val="16"/>
    </w:rPr>
  </w:style>
  <w:style w:type="paragraph" w:styleId="Textocomentario">
    <w:name w:val="annotation text"/>
    <w:basedOn w:val="Normal"/>
    <w:link w:val="TextocomentarioCar"/>
    <w:uiPriority w:val="99"/>
    <w:semiHidden/>
    <w:unhideWhenUsed/>
    <w:rsid w:val="009569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6964"/>
    <w:rPr>
      <w:sz w:val="20"/>
      <w:szCs w:val="20"/>
    </w:rPr>
  </w:style>
  <w:style w:type="paragraph" w:styleId="Asuntodelcomentario">
    <w:name w:val="annotation subject"/>
    <w:basedOn w:val="Textocomentario"/>
    <w:next w:val="Textocomentario"/>
    <w:link w:val="AsuntodelcomentarioCar"/>
    <w:uiPriority w:val="99"/>
    <w:semiHidden/>
    <w:unhideWhenUsed/>
    <w:rsid w:val="00956964"/>
    <w:rPr>
      <w:b/>
      <w:bCs/>
    </w:rPr>
  </w:style>
  <w:style w:type="character" w:customStyle="1" w:styleId="AsuntodelcomentarioCar">
    <w:name w:val="Asunto del comentario Car"/>
    <w:basedOn w:val="TextocomentarioCar"/>
    <w:link w:val="Asuntodelcomentario"/>
    <w:uiPriority w:val="99"/>
    <w:semiHidden/>
    <w:rsid w:val="00956964"/>
    <w:rPr>
      <w:b/>
      <w:bCs/>
      <w:sz w:val="20"/>
      <w:szCs w:val="20"/>
    </w:rPr>
  </w:style>
  <w:style w:type="paragraph" w:styleId="Textodeglobo">
    <w:name w:val="Balloon Text"/>
    <w:basedOn w:val="Normal"/>
    <w:link w:val="TextodegloboCar"/>
    <w:uiPriority w:val="99"/>
    <w:semiHidden/>
    <w:unhideWhenUsed/>
    <w:rsid w:val="009569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6964"/>
    <w:rPr>
      <w:rFonts w:ascii="Segoe UI" w:hAnsi="Segoe UI" w:cs="Segoe UI"/>
      <w:sz w:val="18"/>
      <w:szCs w:val="18"/>
    </w:rPr>
  </w:style>
  <w:style w:type="character" w:customStyle="1" w:styleId="apple-converted-space">
    <w:name w:val="apple-converted-space"/>
    <w:basedOn w:val="Fuentedeprrafopredeter"/>
    <w:rsid w:val="0095374B"/>
  </w:style>
  <w:style w:type="paragraph" w:styleId="NormalWeb">
    <w:name w:val="Normal (Web)"/>
    <w:basedOn w:val="Normal"/>
    <w:uiPriority w:val="99"/>
    <w:semiHidden/>
    <w:unhideWhenUsed/>
    <w:rsid w:val="008A0B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5388">
      <w:bodyDiv w:val="1"/>
      <w:marLeft w:val="0"/>
      <w:marRight w:val="0"/>
      <w:marTop w:val="0"/>
      <w:marBottom w:val="0"/>
      <w:divBdr>
        <w:top w:val="none" w:sz="0" w:space="0" w:color="auto"/>
        <w:left w:val="none" w:sz="0" w:space="0" w:color="auto"/>
        <w:bottom w:val="none" w:sz="0" w:space="0" w:color="auto"/>
        <w:right w:val="none" w:sz="0" w:space="0" w:color="auto"/>
      </w:divBdr>
    </w:div>
    <w:div w:id="131531474">
      <w:bodyDiv w:val="1"/>
      <w:marLeft w:val="0"/>
      <w:marRight w:val="0"/>
      <w:marTop w:val="0"/>
      <w:marBottom w:val="0"/>
      <w:divBdr>
        <w:top w:val="none" w:sz="0" w:space="0" w:color="auto"/>
        <w:left w:val="none" w:sz="0" w:space="0" w:color="auto"/>
        <w:bottom w:val="none" w:sz="0" w:space="0" w:color="auto"/>
        <w:right w:val="none" w:sz="0" w:space="0" w:color="auto"/>
      </w:divBdr>
    </w:div>
    <w:div w:id="133059343">
      <w:bodyDiv w:val="1"/>
      <w:marLeft w:val="0"/>
      <w:marRight w:val="0"/>
      <w:marTop w:val="0"/>
      <w:marBottom w:val="0"/>
      <w:divBdr>
        <w:top w:val="none" w:sz="0" w:space="0" w:color="auto"/>
        <w:left w:val="none" w:sz="0" w:space="0" w:color="auto"/>
        <w:bottom w:val="none" w:sz="0" w:space="0" w:color="auto"/>
        <w:right w:val="none" w:sz="0" w:space="0" w:color="auto"/>
      </w:divBdr>
    </w:div>
    <w:div w:id="4434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Augusto Baptista Neto</dc:creator>
  <cp:keywords/>
  <dc:description/>
  <cp:lastModifiedBy>Maia</cp:lastModifiedBy>
  <cp:revision>2</cp:revision>
  <dcterms:created xsi:type="dcterms:W3CDTF">2019-07-31T20:07:00Z</dcterms:created>
  <dcterms:modified xsi:type="dcterms:W3CDTF">2019-07-31T20:07:00Z</dcterms:modified>
</cp:coreProperties>
</file>